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МИНИМАЛЬНЫЙ ОБЪЕМ ИНФОРМАЦИИ, ПРЕДОСТАВЛЯЕМОЙ ПОЛУЧАТЕЛЮ ФИНАНСОВОЙ УСЛУГИ</w:t>
      </w:r>
    </w:p>
    <w:p>
      <w:pPr>
        <w:pStyle w:val="Normal"/>
        <w:spacing w:lineRule="auto" w:line="240" w:before="0" w:after="0"/>
        <w:rPr/>
      </w:pPr>
      <w:r>
        <w:rPr>
          <w:b/>
          <w:sz w:val="22"/>
          <w:szCs w:val="22"/>
        </w:rPr>
        <w:t xml:space="preserve">1. О полном и (при наличии) сокращенном наименовании кредитного кооператива, месте нахождения (адресе) и режиме работы кредитного кооператива и его обособленных подразделений, контактном телефоне, по которому осуществляется связь с кредитным кооперативом, официальном сайте кредитного кооператива (при наличии), членстве в саморегулируемой организации (включая информацию о дате приема в члены саморегулируемой организации), об исключении из саморегулируемой организации (включая информацию о дате исключения из саморегулируемой организации), а также текст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</w:t>
      </w:r>
      <w:r>
        <w:rPr>
          <w:sz w:val="22"/>
          <w:szCs w:val="22"/>
        </w:rPr>
        <w:t>объединяющих кредитные потребительские кооперативы».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>1.1 Полное и (при наличии) сокращенное наименовании кредитного кооператива: - полное наименование - Кредитный Потребительский Кооператив "Женерал", - сокращенное наименование - КПК "Женерал".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sz w:val="22"/>
          <w:szCs w:val="22"/>
        </w:rPr>
        <w:t>1.2. Место нахождения (адрес) головного офиса и телефон: 350020, Краснодарский край, город Краснодар, улица Красная, дом 180, литер А, помещение № 39</w:t>
      </w:r>
    </w:p>
    <w:p>
      <w:pPr>
        <w:pStyle w:val="Normal"/>
        <w:widowControl w:val="false"/>
        <w:spacing w:lineRule="auto" w:line="240" w:before="0" w:after="0"/>
        <w:jc w:val="both"/>
        <w:rPr/>
      </w:pPr>
      <w:hyperlink r:id="rId2">
        <w:r>
          <w:rPr>
            <w:rStyle w:val="ListLabel1"/>
            <w:sz w:val="22"/>
            <w:szCs w:val="22"/>
          </w:rPr>
          <w:t>8 (800) 600-77-23</w:t>
        </w:r>
      </w:hyperlink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1.3. Место нахождения (адрес) обособленных подразделений, телефоны, электронная почта:</w:t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>г. Саратов, улица Посадского 322, Литер А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3">
        <w:r>
          <w:rPr>
            <w:rStyle w:val="ListLabel1"/>
            <w:sz w:val="22"/>
            <w:szCs w:val="22"/>
          </w:rPr>
          <w:t>8 (800) 600-77-23</w:t>
        </w:r>
      </w:hyperlink>
    </w:p>
    <w:p>
      <w:pPr>
        <w:pStyle w:val="Normal"/>
        <w:spacing w:lineRule="auto" w:line="240" w:before="0" w:after="0"/>
        <w:rPr/>
      </w:pPr>
      <w:hyperlink r:id="rId4">
        <w:r>
          <w:rPr>
            <w:rStyle w:val="ListLabel1"/>
            <w:sz w:val="22"/>
            <w:szCs w:val="22"/>
          </w:rPr>
          <w:t>info@general77.ru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>1.4. Режим работы в головном офисе и обособленных подразделениях КПК «Женерал»: понедельник - четверг с 9-00 до 18-00, пятница с 9-00 до 17-00 без обеда. Выходные дни: суббота, воскресенье.</w:t>
      </w:r>
    </w:p>
    <w:p>
      <w:pPr>
        <w:pStyle w:val="3"/>
        <w:spacing w:lineRule="auto" w:line="240"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b w:val="false"/>
          <w:bCs w:val="false"/>
          <w:sz w:val="22"/>
          <w:szCs w:val="22"/>
          <w:lang w:eastAsia="en-US"/>
        </w:rPr>
      </w:r>
    </w:p>
    <w:p>
      <w:pPr>
        <w:pStyle w:val="3"/>
        <w:spacing w:lineRule="auto" w:line="240" w:beforeAutospacing="0" w:before="0" w:afterAutospacing="0" w:after="0"/>
        <w:rPr/>
      </w:pPr>
      <w:r>
        <w:rPr>
          <w:rFonts w:eastAsia="Calibri" w:cs="" w:ascii="Calibri" w:hAnsi="Calibri" w:asciiTheme="minorHAnsi" w:cstheme="minorBidi" w:eastAsiaTheme="minorHAnsi" w:hAnsiTheme="minorHAnsi"/>
          <w:b w:val="false"/>
          <w:bCs w:val="false"/>
          <w:sz w:val="22"/>
          <w:szCs w:val="22"/>
          <w:lang w:eastAsia="en-US"/>
        </w:rPr>
        <w:t xml:space="preserve">1.5. Контактный телефон КПК «Женерал»: </w:t>
      </w:r>
      <w:hyperlink r:id="rId5">
        <w:r>
          <w:rPr>
            <w:rStyle w:val="ListLabel2"/>
            <w:rFonts w:eastAsia="Calibri" w:cs="" w:ascii="Calibri" w:hAnsi="Calibri" w:asciiTheme="minorHAnsi" w:cstheme="minorBidi" w:eastAsiaTheme="minorHAnsi" w:hAnsiTheme="minorHAnsi"/>
            <w:b w:val="false"/>
            <w:bCs w:val="false"/>
            <w:sz w:val="22"/>
            <w:szCs w:val="22"/>
            <w:lang w:eastAsia="en-US"/>
          </w:rPr>
          <w:t>8 (861) 945-85-85</w:t>
        </w:r>
      </w:hyperlink>
      <w:r>
        <w:rPr>
          <w:rFonts w:eastAsia="Calibri" w:cs="" w:ascii="Calibri" w:hAnsi="Calibri" w:asciiTheme="minorHAnsi" w:cstheme="minorBidi" w:eastAsiaTheme="minorHAnsi" w:hAnsiTheme="minorHAnsi"/>
          <w:b w:val="false"/>
          <w:bCs w:val="false"/>
          <w:sz w:val="22"/>
          <w:szCs w:val="22"/>
          <w:lang w:eastAsia="en-US"/>
        </w:rPr>
        <w:t xml:space="preserve">, </w:t>
      </w:r>
      <w:hyperlink r:id="rId6">
        <w:r>
          <w:rPr>
            <w:rStyle w:val="ListLabel2"/>
            <w:rFonts w:eastAsia="Calibri" w:cs="" w:ascii="Calibri" w:hAnsi="Calibri" w:asciiTheme="minorHAnsi" w:cstheme="minorBidi" w:eastAsiaTheme="minorHAnsi" w:hAnsiTheme="minorHAnsi"/>
            <w:b w:val="false"/>
            <w:bCs w:val="false"/>
            <w:sz w:val="22"/>
            <w:szCs w:val="22"/>
            <w:lang w:eastAsia="en-US"/>
          </w:rPr>
          <w:t>8-800-600-77-23</w:t>
        </w:r>
      </w:hyperlink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 xml:space="preserve">1.6. Адрес официального сайта, e-mail КПК «Женерал»: сайт интернет </w:t>
      </w:r>
      <w:hyperlink r:id="rId7">
        <w:r>
          <w:rPr>
            <w:rStyle w:val="ListLabel1"/>
            <w:sz w:val="22"/>
            <w:szCs w:val="22"/>
          </w:rPr>
          <w:t>https://general77.ru</w:t>
        </w:r>
      </w:hyperlink>
      <w:r>
        <w:rPr>
          <w:sz w:val="22"/>
          <w:szCs w:val="22"/>
        </w:rPr>
        <w:t xml:space="preserve"> Е-mail- </w:t>
      </w:r>
      <w:hyperlink r:id="rId8">
        <w:r>
          <w:rPr>
            <w:rStyle w:val="ListLabel1"/>
            <w:sz w:val="22"/>
            <w:szCs w:val="22"/>
          </w:rPr>
          <w:t>krd@general77.ru</w:t>
        </w:r>
      </w:hyperlink>
      <w:r>
        <w:rPr>
          <w:sz w:val="22"/>
          <w:szCs w:val="22"/>
        </w:rPr>
        <w:t xml:space="preserve">, </w:t>
      </w:r>
      <w:hyperlink r:id="rId9">
        <w:r>
          <w:rPr>
            <w:rStyle w:val="ListLabel1"/>
            <w:sz w:val="22"/>
            <w:szCs w:val="22"/>
          </w:rPr>
          <w:t>info@general77.ru</w:t>
        </w:r>
      </w:hyperlink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 xml:space="preserve">1.7. О членстве КПК «Женерал» в СРО, включая информацию о дате приема кооператива в члены СРО, исключении из СРО: 20.05.2019 года КПК «Женерал» вступил в члены ассоциации «Саморегулируемая организация кредитных кооперативов «Содействие» (в настоящее время Ассоциация СРО НСКК "Содействие"). Учтен в реестре членов организации за номером № 522. Сайт СРО: www.sro-sodeystvie.ru Юридический адрес СРО «Содействие»: 214000, г. Смоленск, ул. Октябрьской рев., д. 9, офис 301 Почтовый адрес СРО «Содействие»:214000, г. Смоленск, ул. Октябрьской рев., д. 9, офис 301 Телефоны СРО «Содействие»: 8 (4812) 68-35-38, 8 (4812) 38-52-92 Email СРО «Содействие»: okk@smolfinance.ru, </w:t>
      </w:r>
      <w:hyperlink r:id="rId10">
        <w:r>
          <w:rPr>
            <w:rStyle w:val="Style13"/>
            <w:sz w:val="22"/>
            <w:szCs w:val="22"/>
          </w:rPr>
          <w:t>marat@smolfinance.ru</w:t>
        </w:r>
      </w:hyperlink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>1.8. Текст Базового стандарта защиты прав и интересов физических и юридических лиц – получателей финансовых услуг, оказываемых членами СРО в сфере финансового рынка, объединяющих КПК» размещен в папках «Минимальный объем информации п</w:t>
      </w:r>
      <w:r>
        <w:rPr>
          <w:rFonts w:cs="" w:cstheme="minorBidi"/>
          <w:sz w:val="22"/>
          <w:szCs w:val="22"/>
        </w:rPr>
        <w:t>редоставляемой получателю финансовой услуги» во всех структурных подразделениях кредитного кооператива, а также на сайте КПК «Женерал» во вкладе «Информация для пайщиков».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</w:rPr>
      </w:pPr>
      <w:r>
        <w:rPr>
          <w:rFonts w:eastAsia="Calibri" w:cs="" w:cstheme="minorBidi" w:eastAsiaTheme="minorHAnsi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eastAsia="Calibri" w:cs="" w:cstheme="minorBidi" w:eastAsiaTheme="minorHAnsi"/>
          <w:b/>
          <w:sz w:val="22"/>
          <w:szCs w:val="22"/>
        </w:rPr>
        <w:t xml:space="preserve">2. Об органах управления кредитного кооператива и лицах, входящих в состав органов управления кредитного кооператива; 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sz w:val="22"/>
          <w:szCs w:val="22"/>
        </w:rPr>
        <w:t>2.1 Общее собрание членов (пайщиков) КПК «Женерал».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 xml:space="preserve">2.2 Правление КПК «Женерал». Члены Правления КПК «Женерал»: Председатель Правления Черняховский Александр Сергеевич, члены Правления: Захарова Ирина Александровна, </w:t>
      </w:r>
      <w:r>
        <w:rPr>
          <w:color w:val="000000"/>
          <w:sz w:val="22"/>
          <w:szCs w:val="22"/>
        </w:rPr>
        <w:t>Семёнова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color w:val="000000"/>
          <w:sz w:val="22"/>
          <w:szCs w:val="22"/>
        </w:rPr>
        <w:t>Юлия Александровна, Алексеева Марина Сергеевна, Корнева Наталья Владимировна.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2.3 Единоличный исполнительный орган КПК «Женерал»: директор</w:t>
      </w:r>
      <w:r>
        <w:rPr>
          <w:rFonts w:cs="Times New Roman"/>
          <w:color w:val="000000"/>
          <w:sz w:val="22"/>
          <w:szCs w:val="22"/>
        </w:rPr>
        <w:t xml:space="preserve"> Ключкин Олег Анатольевич.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2.4 . Ревизионная комиссия: председатель Ревизионной комиссии </w:t>
      </w:r>
      <w:r>
        <w:rPr>
          <w:color w:val="000000"/>
          <w:sz w:val="22"/>
          <w:szCs w:val="22"/>
        </w:rPr>
        <w:t>Оришак Мария Александровна, члены Ревизионной комиссии: Юхим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шин Сергей Леонидович, Мещерякова Юлия Викторовна.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3. О финансовых и иных услугах кредитного кооператива, оказываемых потребителям финансовых услуг, в том числе за дополнительную плату, с описанием услуги и указанием ее стоимости</w:t>
      </w:r>
      <w:r>
        <w:rPr>
          <w:sz w:val="22"/>
          <w:szCs w:val="22"/>
        </w:rPr>
        <w:t xml:space="preserve">;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3.1 Предоставление кооперативом займов членам (пайщикам), услуга по привлечению денежных средств на основании договоров займа, заключаемых с юридическими лицами, ИП и договоров передачи личных сбережений, заключаемых с физическими лицами. Более подробная информация о видах, условиях предоставления займов, условиях привлечения личных сбережений, процентных ставках (стоимости услуг) размещена на стендах в офисах КПК «Женерал», а также на официальном сайте кредитного кооператива в разделах «Займы», «Сбережения».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3.2 Предоставление копий документов получателям финансовых услуг (повторное). Стоимость данной услуги определяется Директором КПК «Женерал» и не превышает затрат на ее изготовление. Услуга по предоставлению копий документов оказывается только пайщикам кооператива.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3.4 Предоставление копий документов, связанных с заключением и исполнением договора займа членам (пайщикам) Пайщики, заключившие с кооперативом договор займа имеют право направить письменное обращение на предоставление копий документов: 1)договор займа, подписанный сторонами; 2)подписанное пайщиком заявление о предоставлении займа 3)документ, подтверждающий выдачу пайщику займа (ордер, платежное поручение, справка о перечислении денежных средств на электронное средство платежа); 4)согласия, предоставленные пайщиком во исполнение действующего законодательства Российской Федерации, регулирующего порядок взыскания просроченной задолженности; 5)документ, подтверждающий полное исполнение пайщиком обязательств по договору займа. Услуга предоставляется бесплатно не более одного раза по одному договору займа и не ограниченное число раз за плату. Стоимость платной услуги определяется Директором КПК «Женерал» и не превышает затрат на ее изготовление. Указанные документы предоставляются в течение 10 (десяти) рабочих дней со дня регистрации соответствующего запроса пайщика в "Журнале регистрации обращений" (документ, подтверждающий полное исполнение пайщиком обязательств по договору займа предоставляется в течение 1 (одного) рабочего дня со дня регистрации соответствующего запроса от получателя финансовой услуги в Журнале.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3.5 Предоставление копий документов, связанных с заключением и исполнением договора о передачи личных сбережений членам (пайщикам) Пайщики, заключившие с кооперативом договор о передачи личных сбережений имеют право направить письменное обращение пайщика на предоставление следующих копий документов: 1) договор передачи личных сбережений, подписанный сторонами; 2) документ, подтверждающий передачу пайщиком личных сбережений (ордер, платежное поручение, справка о перечислении денежных средств на электронное средство платежа) Документы, указанные в п. 2 статьи 5 предоставляются бесплатно не более одного раза по одному договору займа и не ограниченное число раз за плату: Стоимость платной услуги определяется Директором КПК «Женерал» и не превышает затрат на ее изготовление. 6 Указанные документы предоставляются в течение 10 (десяти) рабочих дней со дня регистрации соответствующего запроса пайщика в "Журнале регистрации обращений". Получатели финансовых услуг имеют право обратиться с обращением в кредитный кооператив на предоставление копий документов, указанных в п.1 ст.3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кооперативы" Стоимость по предоставлению данной услуги определяется Директором КПК «Женерал»» и не превышает затрат на ее изготовление. Копии документов предоставляются в течение 1 (одного) рабочего дня с даты регистрации соответствующего запроса в "Журнале регистрации обращений".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4. Об осуществлении деятельности третьими лицами, действующими по поручению, от имени и за счет кредитного кооператива, в том числе на основании гражданско-правового договора или доверенности. В составе информации о третьих лицах, действующих по поручению, от имени и за счет кредитного кооператива, в том числе на основании гражданско-правового договора или доверенности, должны быть указаны: полное наименование организации или фамилия, имя и отчество (при наличии) физического лица, место нахождения организации, контактный телефон, официальный сайт в информационно-телекоммуникационной сети "Интернет" (при наличии), содержание деятельности, осуществляемой третьим лицом, действующими по поручению, от имени и за счет кредитного кооператива, в том числе на основании гражданско-правового договора или доверенности. </w:t>
      </w:r>
    </w:p>
    <w:p>
      <w:pPr>
        <w:pStyle w:val="Normal"/>
        <w:spacing w:lineRule="auto" w:line="240" w:before="0" w:after="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eastAsia="Calibri" w:cs="" w:cstheme="minorBidi" w:eastAsiaTheme="minorHAnsi"/>
          <w:sz w:val="22"/>
          <w:szCs w:val="22"/>
        </w:rPr>
        <w:t xml:space="preserve">ИП Шапкин </w:t>
      </w:r>
      <w:r>
        <w:rPr>
          <w:rFonts w:eastAsia="Calibri" w:cs="" w:cstheme="minorBidi" w:eastAsiaTheme="minorHAnsi"/>
          <w:sz w:val="22"/>
          <w:szCs w:val="22"/>
          <w:lang w:val="ru-RU"/>
        </w:rPr>
        <w:t>Валерий Олегович на основании агентского договора б/н от 09.01.2018 года оказывает услуги по привлечению клиентов для получения займов, их сопровождению при подготовке и совершении сделки.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5. О том, что кредитные кооперативы не являются участниками системы обязательного страхования вкладов физических лиц.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Кредитные кооперативы не являются участниками системы обязательного страхования вкладов физических лиц, осуществляемой кредитными организациями в соответствии c Федеральным законом «О страховании вкладов физических лиц в банках Российской Федерации». 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6.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заемщика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валюте).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В случае если общий размер платежей заемщика по всем имеющимся у заемщика на дату обращения к КПК «Женерал» о предоставлении потребительского займа обязательствам будет превышать 50 (пятьдесят) процентов годового дохода заемщика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 то для заемщика существует риск неисполнения обязательств по договору потребительского займа и применения к  заемщику штрафных санкций, предусмотренных заключенным с ним договором потребительского займа и действующим законодательством. Займы в иностранной валюте КПК «Женерал» не предоставляет. 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7. О способах и адресах для направления обращений получателями финансовой услуги, в том числе о возможности направления обращений в саморегулируемую организацию, а также в Банк России.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7.1 Обращения (жалобы, запросы, предложения, требования, заявления, сообщения и т.д.) получателей финансовых услуг направляются в КПК « Женерал»: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1) Путем предоставления документов нарочно во все структурные подразделения кооператива в рабочие дни;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2) По почте в документарной форме печатью по адресу: 350020, Краснодарский край, город Краснодар, улица Красная, дом 180, литер А, помещение № 39 (заказным отправлением с уведомлением (без уведомления) о вручении или простым почтовым отправлением, подписанные собственной подписью пайщика, - заказным отправлением с уведомлением (без уведомления) о вручении или простым почтовым отправлением, подписанные подписью представителя пайщика с приложением документа подтверждающего полномочия </w:t>
      </w:r>
      <w:r>
        <w:rPr>
          <w:rFonts w:cs="" w:cstheme="minorBidi"/>
          <w:sz w:val="22"/>
          <w:szCs w:val="22"/>
        </w:rPr>
        <w:t>представителя, либо подписью представителя пайщика,</w:t>
      </w:r>
    </w:p>
    <w:p>
      <w:pPr>
        <w:pStyle w:val="Normal"/>
        <w:spacing w:lineRule="auto" w:line="240" w:before="0" w:after="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eastAsia="Calibri" w:cs="" w:cstheme="minorBidi" w:eastAsiaTheme="minorHAnsi"/>
          <w:sz w:val="22"/>
          <w:szCs w:val="22"/>
        </w:rPr>
        <w:t xml:space="preserve"> </w:t>
      </w:r>
      <w:r>
        <w:rPr>
          <w:rFonts w:eastAsia="Calibri" w:cs="" w:cstheme="minorBidi" w:eastAsiaTheme="minorHAnsi"/>
          <w:sz w:val="22"/>
          <w:szCs w:val="22"/>
        </w:rPr>
        <w:t xml:space="preserve">- по почте теми же способами с вложением в пакет машинного носителя с электронными документами, подписанными простой, квалифицированной или усиленной квалифицированной электронно-цифровой подписью. 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sz w:val="22"/>
          <w:szCs w:val="22"/>
        </w:rPr>
        <w:t xml:space="preserve">3) По электронной почте: </w:t>
      </w:r>
      <w:hyperlink r:id="rId11">
        <w:r>
          <w:rPr>
            <w:rStyle w:val="ListLabel1"/>
            <w:rFonts w:eastAsia="Calibri" w:cs="" w:cstheme="minorBidi" w:eastAsiaTheme="minorHAnsi"/>
            <w:sz w:val="22"/>
            <w:szCs w:val="22"/>
          </w:rPr>
          <w:t>krd@general77.ru</w:t>
        </w:r>
      </w:hyperlink>
      <w:r>
        <w:rPr>
          <w:rFonts w:eastAsia="Calibri" w:cs="" w:cstheme="minorBidi" w:eastAsiaTheme="minorHAnsi"/>
          <w:sz w:val="22"/>
          <w:szCs w:val="22"/>
        </w:rPr>
        <w:t xml:space="preserve">, </w:t>
      </w:r>
      <w:hyperlink r:id="rId12">
        <w:r>
          <w:rPr>
            <w:rStyle w:val="ListLabel1"/>
            <w:rFonts w:eastAsia="Calibri" w:cs="" w:cstheme="minorBidi" w:eastAsiaTheme="minorHAnsi"/>
            <w:sz w:val="22"/>
            <w:szCs w:val="22"/>
          </w:rPr>
          <w:t>info@general77.ru</w:t>
        </w:r>
      </w:hyperlink>
      <w:r>
        <w:rPr>
          <w:rFonts w:eastAsia="Calibri" w:cs="" w:cstheme="minorBidi" w:eastAsiaTheme="minorHAnsi"/>
          <w:sz w:val="22"/>
          <w:szCs w:val="22"/>
        </w:rPr>
        <w:t xml:space="preserve"> в форме электронного документа, подписанного простой, квалифицированной или усиленной квалифицированной электронно-цифровой подписью); </w:t>
      </w:r>
    </w:p>
    <w:p>
      <w:pPr>
        <w:pStyle w:val="Normal"/>
        <w:spacing w:lineRule="auto" w:line="240" w:before="0" w:after="0"/>
        <w:rPr/>
      </w:pPr>
      <w:r>
        <w:rPr>
          <w:rFonts w:eastAsia="Calibri" w:cs="" w:cstheme="minorBidi" w:eastAsiaTheme="minorHAnsi"/>
          <w:sz w:val="22"/>
          <w:szCs w:val="22"/>
        </w:rPr>
        <w:t xml:space="preserve">4) через интернет-сайт -  </w:t>
      </w:r>
      <w:hyperlink r:id="rId13">
        <w:r>
          <w:rPr>
            <w:rStyle w:val="ListLabel1"/>
            <w:rFonts w:eastAsia="Calibri" w:cs="" w:cstheme="minorBidi" w:eastAsiaTheme="minorHAnsi"/>
            <w:sz w:val="22"/>
            <w:szCs w:val="22"/>
          </w:rPr>
          <w:t>https://general77.ru</w:t>
        </w:r>
      </w:hyperlink>
      <w:r>
        <w:rPr>
          <w:rFonts w:eastAsia="Calibri" w:cs="" w:cstheme="minorBidi" w:eastAsiaTheme="minorHAnsi"/>
          <w:sz w:val="22"/>
          <w:szCs w:val="22"/>
        </w:rPr>
        <w:t xml:space="preserve"> в форме электронного документа, подписанного простой, квалифицированной или усиленной квалифицированной электронно-цифровой подписью);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" w:cstheme="minorBidi"/>
          <w:sz w:val="22"/>
          <w:szCs w:val="22"/>
        </w:rPr>
        <w:t xml:space="preserve">7.2. Обращения получателей финансовых услуг в СРО предоставляются по почте заказным отправлением с уведомлением о вручении или простым почтовым отправлением по адресу: 214000, г. Смоленск, ул. Октябрьской революции, дом 9, офис 301 или по электронной почте: okk@smolfinance.ru, marat@smolfinance.ru (документы в электронном виде подписываются </w:t>
      </w:r>
      <w:r>
        <w:rPr>
          <w:sz w:val="22"/>
          <w:szCs w:val="22"/>
        </w:rPr>
        <w:t>простой, квалифицированной или усиленной квалифицированной электронно-цифровой подписью). Телефоны СРО «Содействие»: 8 (4812) 68-35-38, 8 (4812) 38-52-92 7.3.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Обращения получателей финансовых услуг в Банк России предоставляются: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-в Контактный центр Банка России 8 800 300-30-00 (для бесплатных звонков из регионов России) +7 499 300-30-00 (звонок по тарифам Вашего оператора связи),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в Общественную приемная Банка России: Адрес: г. Москва, Сандуновский пер., д. 3, стр. 1. 8 Часы работы (кроме нерабочих праздничных дней): понедельник – четверг с 9:00 до 17:30, пятница с 9:00 до 16:15, перерыв с 12:00 до 13:</w:t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>- направить письменные обращения в Банк России можно на почтовый адрес: 107016, Москва, ул. Неглинная, д. 12, Банк России; по факсу: +7 495 621-64-65, +7 495 621-62-88 проверка прохождения факса +7 495 771-48-30;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8. О способах защиты прав получателя финансовой услуги, включая информацию о наличии возможности и способах досудебного урегулирования спора.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8.1 .Права получателя финансовой услуги кредитного потребительского кооператива установлены: - Федеральным законом от 18.07.2009 N 190-ФЗ "О кредитной кооперации "(далее «Федеральный закон»),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кооперативы, утв. Банком России 14.12.2017 (далее-Стандарт),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-иными законодательными и нормативными актами.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8.2. Защита прав получателя финансовой услуги осуществляется:</w:t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 xml:space="preserve">8.2.1 КПК «Женерал» путем исполнения своих обязанностей перед получателем финансовых услуг в соответствии с требованиями законодательства и Базового стандарта;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8.2.2 Получателем финансовой услуги путем: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- реализации им своих прав на получение информации, защиту персональных данных, защиту частной жизни, защиту неприкосновенности жилища, защиту репутации, других прав, а также путем направление обращений в КПК «Женерал» с заявлением на реструктуризацию задолженности и иными заявлениями;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-путем направления обращений в саморегулируемую организацию, членом которой является кредитный кооператив, и Банк России с жалобами и заявлениями на действия (бездействия) кредитного кооператива; </w:t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 xml:space="preserve">- с 01.01.2021 г. путем обращения к Финансовому уполномоченному в порядке, установленном </w:t>
      </w:r>
      <w:hyperlink r:id="rId14" w:tgtFrame="_blank">
        <w:r>
          <w:rPr>
            <w:rStyle w:val="ListLabel1"/>
            <w:sz w:val="22"/>
            <w:szCs w:val="22"/>
          </w:rPr>
          <w:t>Федеральным законом от 04.06.2018 № 123-ФЗ «Об уполномоченном по правам потребителей финансовых услуг»</w:t>
        </w:r>
      </w:hyperlink>
      <w:r>
        <w:rPr>
          <w:sz w:val="22"/>
          <w:szCs w:val="22"/>
        </w:rPr>
        <w:t>,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- путем обращения в суд с исками на действия (бездействие) кредитного кооператива;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путем обращения получателя финансовых услуг в иные надзорные органы,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Российской Федерации.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8.2.3.Кредитный кооператив и получатель финансовой услуги при взаимном соглашении сторон вправе использовать способы внесудебного разрешения спора, установленные законодательством Российской Федерации, в том числе посредством претензионного порядка, медиативных процедур и переговоров. Способы досудебного урегулирования спора: личные встречи, телефонные переговоры (непосредственное взаимодействие); претензионный порядок; процедуры медиации.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8.2.4 Получатель финансовой услуги вправе защищать свои права и законные интересы иными установленными или незапрещенными законодательством способами.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9. 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(пайщиков), если эта обязанность члена кредитного кооператива (пайщика) определена уставом кредитного кооператива</w:t>
      </w:r>
      <w:r>
        <w:rPr>
          <w:sz w:val="22"/>
          <w:szCs w:val="22"/>
        </w:rPr>
        <w:t xml:space="preserve">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Члены (пайщики) солидарно несут субсидиарную ответственность по обязательствам кредитного кооператива в пределах невнесенной части дополнительного взноса каждым из членов (пайщиков). Размер дополнительного взноса каждого члена (пайщика) рассчитывается от общей суммы причитающихся к погашению убытков и (или) обязательств, пропорционально доле его паенакопления в паевом фонде кредитного кооператива. Решение о необходимости внесения членами (пайщиками) дополнительных взносов принимается Общим собранием при утверждении годового баланса, определения подлежащей возмещению балансовой стоимости убытков и объема неисполненных обязательств. При этом для каждого члена (пайщика) устанавливается размер причитающегося к оплате дополнительного взноса. Дополнительный взнос подлежит уплате в течение трех месяцев после утверждения Общим собранием членов (пайщиков) кредитного кооператива годового баланса кредитного кооператива. 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10. 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(пайщиков).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Кредитный кооператив осуществляет свою деятельность на основе принципа самоуправления кредитного кооператива, обеспечиваемого участием его членов (пайщиков) в управлении кредитным кооперативом. Члены кооператива вправе сами решать все внутренние вопросы, участвуя в общем собрании кредитного кооператива или являясь членами органов управления кредитного кооператива. Полномочия органов управления, порядок и условия их избрания определены в Уставе КПК «Женерал», а также в Положении «Об органах управления». Члены кредитного кооператива вправе участвовать во всех мероприятиях, организуемых кооперативом. Самоуправление проявляется в принятии устава кредитного кооператива только общим собранием членов кредитного кооператива так же, как и внесение в него изменений и принятие устава в новой редакции. В уставе решаются наиболее важные вопросы деятельности кредитного кооператива. В связи с этим любой из пайщиков вправе повлиять на любой вопрос деятельности кредитного кооператива. Член (пайщик) КПК имеет право участвовать в управлении кредитным кооперативом с одним решающим голосом независимо от суммы внесенного пая и личных сбережений.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11. О порядке ознакомления получателя финансовых услуг с порядком и условиями привлечения денежных средств членов кредитного кооператива (пайщиков) и порядком предоставления займов членам кредитного кооператива (пайщикам).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11.1 Привлечение кооперативом денежных средств пайщиков и пре</w:t>
      </w:r>
      <w:r>
        <w:rPr>
          <w:rFonts w:cs="" w:cstheme="minorBidi"/>
          <w:sz w:val="22"/>
          <w:szCs w:val="22"/>
        </w:rPr>
        <w:t xml:space="preserve">доставление кооперативом займов пайщикам осуществляются в соответствии с утвержденными общим собранием членов кредитного кооператива (пайщиков) Положением о порядке и об условиях привлечения денежных средств пайщиков Кредитного потребительского кооператива «Женерал» и Положением о порядке предоставления займов членам (пайщикам) Кредитного потребительского кооператива «Женерал».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" w:cstheme="minorBidi"/>
          <w:sz w:val="22"/>
          <w:szCs w:val="22"/>
        </w:rPr>
        <w:t>11.2. Получатель финансовой услуги может бесплатно ознакомиться с Положением о порядке и об условиях привлечения денежных средств, членов кредитного коопер</w:t>
      </w:r>
      <w:r>
        <w:rPr>
          <w:sz w:val="22"/>
          <w:szCs w:val="22"/>
        </w:rPr>
        <w:t>атива (пайщиков) и Положением о порядке предоставления займов членам кредитного кооператива (пайщикам) во всех структурных подразделениях КПК «Женерал» в рабочее время офиса, а также на сайте КПК.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11.3. Пайщик может направить письменное обращение о получении копий вышеназванных документов на почтовый адрес кредитного кооператива или предоставить обращение непосредственно в офис кооператива. Стоимость вышеуказанных документов определяется Директором КПК «Женерал».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11.4. Получатель финансовой услуги может получить бесплатную консультацию по условиям привлечения денежных средств членов кредитного кооператива (пайщиков) и предоставления займов членам кредитного кооператива (пайщикам) по телефонам структурных подразделений КПК «Женерал» в рабочее время.  </w:t>
      </w:r>
    </w:p>
    <w:p>
      <w:pPr>
        <w:pStyle w:val="Normal"/>
        <w:spacing w:lineRule="auto" w:line="240" w:before="0" w:after="0"/>
        <w:rPr/>
      </w:pPr>
      <w:r>
        <w:rPr>
          <w:sz w:val="22"/>
          <w:szCs w:val="22"/>
        </w:rPr>
        <w:t>11.5. Разъяснения условий договоров и иных документов в отношении финансовой услуги осуществляются в устной форме при устном обращении и (или) в письменной форме при письменном обращении получателя финансовой услуги. Разъяснения в отношении финансовой услуги осуществляется во всех случаях безвозмездно.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12. О размере или порядке расчета, а также о порядке уплаты вступительного взноса и членских взносов.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Деятельность кредитного кооператива, как некоммерческой организации, обеспечивается за счет вносимых членами (пайщиками) взносов.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В кредитном кооперативе установлен следующий состав взносов: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1.Вступительный взнос. 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2.Паевые взносы: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Обязательный паевой взнос.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color w:val="000000"/>
          <w:sz w:val="22"/>
          <w:szCs w:val="22"/>
        </w:rPr>
        <w:t>Обязательный паевой взнос в размере 50 (пятьдесят) рублей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Добровольный паевой взнос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Величина добровольного паевого взноса определяется пайщиком самостоятельно, составляет не менее 1 000 (одной тысячи) руб. Количество вносимых членами кредитного кооператива (пайщиками) добровольных паевых взносов не ограничено. Добровольные паевые взносы вносятся членами кредитного кооператива (пайщиками) в кассу или на расчетный счет кредитного кооператива и формируют их паенакопления.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3.Членские взносы: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 xml:space="preserve">Членские взносы членов кредитного кооператива являются обязательными для уплаты всеми членами кредитного кооператива и вносятся в кассу кредитного кооператива или перечисляются на расчетный счет кредитного кооператива.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На пайщиков возлагается обязанность по внесению членских взносов, включающих: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- постоянные членские взносы,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- переменные членские взносы.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MS Mincho"/>
          <w:color w:val="000000"/>
          <w:sz w:val="22"/>
          <w:szCs w:val="22"/>
        </w:rPr>
        <w:t>Постоянные членские взносы подлежат уплате всеми пайщикам, как в период участия в организуемой Кооперативом финансовой взаимопомощи, так и в период, когда пайщик не имел действующего договора займа или договора привлечения денежных средств (сбережений) с Кооперативом. Переменные членские взносы подлежат уплате только пайщикам, получившими или желающими получить заём. Величина и виды членских взносов определяются  Положением о формировании и использовании имущества кредитного кооператива.</w:t>
      </w:r>
    </w:p>
    <w:p>
      <w:pPr>
        <w:pStyle w:val="Normal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- дополнительный членский взнос – денежные средства члена (пайщика), вносимые для создания Неделимого Резервного фонда кредитного кооператива, предусмотренного п.1 ч. 4 ст. 6 ФЗ «О кредитной кооперации» № 190-ФЗ «О кредитной кооперации».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DejaVu Sans Mon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2e0eb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d0807"/>
    <w:rPr>
      <w:color w:val="0563C1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e0eb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Calibri" w:hAnsi="Calibri" w:eastAsia="Calibri" w:cs="" w:asciiTheme="minorHAnsi" w:cstheme="minorBidi" w:eastAsiaTheme="minorHAnsi" w:hAnsiTheme="minorHAnsi"/>
      <w:b w:val="false"/>
      <w:bCs w:val="false"/>
      <w:sz w:val="22"/>
      <w:szCs w:val="22"/>
      <w:lang w:eastAsia="en-US"/>
    </w:rPr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Calibri" w:hAnsi="Calibri" w:eastAsia="Calibri" w:cs="" w:asciiTheme="minorHAnsi" w:cstheme="minorBidi" w:eastAsiaTheme="minorHAnsi" w:hAnsiTheme="minorHAnsi"/>
      <w:b w:val="false"/>
      <w:bCs w:val="false"/>
      <w:sz w:val="22"/>
      <w:szCs w:val="22"/>
      <w:lang w:eastAsia="en-US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Calibri" w:hAnsi="Calibri"/>
      <w:sz w:val="22"/>
      <w:szCs w:val="22"/>
    </w:rPr>
  </w:style>
  <w:style w:type="character" w:styleId="ListLabel8">
    <w:name w:val="ListLabel 8"/>
    <w:qFormat/>
    <w:rPr>
      <w:rFonts w:ascii="Calibri" w:hAnsi="Calibri" w:eastAsia="Calibri" w:cs="" w:asciiTheme="minorHAnsi" w:cstheme="minorBidi" w:eastAsiaTheme="minorHAnsi" w:hAnsiTheme="minorHAnsi"/>
      <w:b w:val="false"/>
      <w:bCs w:val="false"/>
      <w:sz w:val="22"/>
      <w:szCs w:val="22"/>
      <w:lang w:eastAsia="en-US"/>
    </w:rPr>
  </w:style>
  <w:style w:type="character" w:styleId="ListLabel9">
    <w:name w:val="ListLabel 9"/>
    <w:qFormat/>
    <w:rPr>
      <w:rFonts w:ascii="Calibri" w:hAnsi="Calibri"/>
      <w:sz w:val="22"/>
      <w:szCs w:val="22"/>
    </w:rPr>
  </w:style>
  <w:style w:type="character" w:styleId="ListLabel10">
    <w:name w:val="ListLabel 10"/>
    <w:qFormat/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character" w:styleId="ListLabel11">
    <w:name w:val="ListLabel 11"/>
    <w:qFormat/>
    <w:rPr>
      <w:sz w:val="22"/>
      <w:szCs w:val="22"/>
    </w:rPr>
  </w:style>
  <w:style w:type="character" w:styleId="ListLabel12">
    <w:name w:val="ListLabel 12"/>
    <w:qFormat/>
    <w:rPr>
      <w:rFonts w:ascii="Calibri" w:hAnsi="Calibri" w:eastAsia="Calibri" w:cs="" w:asciiTheme="minorHAnsi" w:cstheme="minorBidi" w:eastAsiaTheme="minorHAnsi" w:hAnsiTheme="minorHAnsi"/>
      <w:b w:val="false"/>
      <w:bCs w:val="false"/>
      <w:sz w:val="22"/>
      <w:szCs w:val="22"/>
      <w:lang w:eastAsia="en-US"/>
    </w:rPr>
  </w:style>
  <w:style w:type="character" w:styleId="ListLabel13">
    <w:name w:val="ListLabel 13"/>
    <w:qFormat/>
    <w:rPr>
      <w:sz w:val="22"/>
      <w:szCs w:val="22"/>
    </w:rPr>
  </w:style>
  <w:style w:type="character" w:styleId="ListLabel14">
    <w:name w:val="ListLabel 14"/>
    <w:qFormat/>
    <w:rPr>
      <w:rFonts w:eastAsia="Calibri" w:cs="" w:cstheme="minorBidi" w:eastAsiaTheme="minorHAnsi"/>
      <w:sz w:val="22"/>
      <w:szCs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D2e5eaf1f2e2e7e0e4e0ededeeecf4eef0ece0f2e5" w:customStyle="1">
    <w:name w:val="Тd2еe5кeaсf1тf2 вe2 зe7аe0дe4аe0нedнedоeeмec фf4оeeрf0мecаe0тf2еe5"/>
    <w:basedOn w:val="Normal"/>
    <w:uiPriority w:val="99"/>
    <w:qFormat/>
    <w:rsid w:val="00f4488a"/>
    <w:pPr>
      <w:suppressAutoHyphens w:val="true"/>
      <w:spacing w:lineRule="auto" w:line="240" w:before="0" w:after="0"/>
    </w:pPr>
    <w:rPr>
      <w:rFonts w:ascii="DejaVu Sans Mono" w:hAnsi="DejaVu Sans Mono" w:eastAsia="Times New Roman" w:cs="DejaVu Sans Mono"/>
      <w:kern w:val="2"/>
      <w:sz w:val="20"/>
      <w:szCs w:val="20"/>
      <w:lang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8 (800) 600-77-23" TargetMode="External"/><Relationship Id="rId3" Type="http://schemas.openxmlformats.org/officeDocument/2006/relationships/hyperlink" Target="tel:8 (800) 600-77-23" TargetMode="External"/><Relationship Id="rId4" Type="http://schemas.openxmlformats.org/officeDocument/2006/relationships/hyperlink" Target="mailto: info@general77.ru" TargetMode="External"/><Relationship Id="rId5" Type="http://schemas.openxmlformats.org/officeDocument/2006/relationships/hyperlink" Target="tel: 8 (861) 945-85-85" TargetMode="External"/><Relationship Id="rId6" Type="http://schemas.openxmlformats.org/officeDocument/2006/relationships/hyperlink" Target="tel:8-800-600-77-23" TargetMode="External"/><Relationship Id="rId7" Type="http://schemas.openxmlformats.org/officeDocument/2006/relationships/hyperlink" Target="https://general77.ru/" TargetMode="External"/><Relationship Id="rId8" Type="http://schemas.openxmlformats.org/officeDocument/2006/relationships/hyperlink" Target="mailto: krd@general77.ru" TargetMode="External"/><Relationship Id="rId9" Type="http://schemas.openxmlformats.org/officeDocument/2006/relationships/hyperlink" Target="mailto: info@general77.ru" TargetMode="External"/><Relationship Id="rId10" Type="http://schemas.openxmlformats.org/officeDocument/2006/relationships/hyperlink" Target="mailto:marat@smolfinance.ru" TargetMode="External"/><Relationship Id="rId11" Type="http://schemas.openxmlformats.org/officeDocument/2006/relationships/hyperlink" Target="mailto: krd@general77.ru" TargetMode="External"/><Relationship Id="rId12" Type="http://schemas.openxmlformats.org/officeDocument/2006/relationships/hyperlink" Target="mailto: info@general77.ru" TargetMode="External"/><Relationship Id="rId13" Type="http://schemas.openxmlformats.org/officeDocument/2006/relationships/hyperlink" Target="https://general77.ru/" TargetMode="External"/><Relationship Id="rId14" Type="http://schemas.openxmlformats.org/officeDocument/2006/relationships/hyperlink" Target="http://pravo.gov.ru/proxy/ips/?docbody=&amp;nd=102471607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LibreOffice/6.2.4.2$Windows_X86_64 LibreOffice_project/2412653d852ce75f65fbfa83fb7e7b669a126d64</Application>
  <Pages>6</Pages>
  <Words>2676</Words>
  <Characters>19217</Characters>
  <CharactersWithSpaces>21860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2021-01-21T16:20:00Z</dcterms:created>
  <dc:creator>Александра Бутримова</dc:creator>
  <dc:description/>
  <dc:language>ru-RU</dc:language>
  <cp:lastModifiedBy/>
  <dcterms:modified xsi:type="dcterms:W3CDTF">2021-01-29T09:02:44Z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